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110BC" w14:textId="77777777" w:rsidR="00C52A1C" w:rsidRPr="00816472" w:rsidRDefault="00C52A1C" w:rsidP="0088765D">
      <w:pPr>
        <w:pStyle w:val="Heading1"/>
        <w:jc w:val="center"/>
        <w:rPr>
          <w:b w:val="0"/>
        </w:rPr>
      </w:pPr>
      <w:r w:rsidRPr="00816472">
        <w:t>A</w:t>
      </w:r>
      <w:r w:rsidR="0088765D">
        <w:t xml:space="preserve">rts </w:t>
      </w:r>
      <w:r w:rsidRPr="00816472">
        <w:t>&amp;</w:t>
      </w:r>
      <w:r w:rsidR="0088765D">
        <w:t xml:space="preserve"> </w:t>
      </w:r>
      <w:r w:rsidRPr="00816472">
        <w:t>S</w:t>
      </w:r>
      <w:r w:rsidR="0088765D">
        <w:t>cience</w:t>
      </w:r>
      <w:r w:rsidRPr="00816472">
        <w:t xml:space="preserve"> Graduate Expansion Funding </w:t>
      </w:r>
      <w:r w:rsidR="0088765D">
        <w:t>(GEF)</w:t>
      </w:r>
    </w:p>
    <w:p w14:paraId="567BBAC9" w14:textId="77777777" w:rsidR="00F57CD3" w:rsidRDefault="00D664A0" w:rsidP="00C52A1C">
      <w:r>
        <w:t>G</w:t>
      </w:r>
      <w:r w:rsidR="00C52A1C">
        <w:t>raduate E</w:t>
      </w:r>
      <w:r>
        <w:t>xpansion Funding (GEF) i</w:t>
      </w:r>
      <w:r w:rsidR="007A454C">
        <w:t xml:space="preserve">s an Arts &amp; Science program.  It was established to provide financial support </w:t>
      </w:r>
      <w:r w:rsidR="00776C01">
        <w:t>for graduate</w:t>
      </w:r>
      <w:r w:rsidR="00C52A1C">
        <w:t xml:space="preserve"> units</w:t>
      </w:r>
      <w:r w:rsidR="007A454C">
        <w:t xml:space="preserve"> during the provincially funded, and University encouraged, graduate enrolment growth</w:t>
      </w:r>
      <w:r w:rsidR="00776C01">
        <w:t xml:space="preserve">.  This growth targets </w:t>
      </w:r>
      <w:r w:rsidR="007A454C">
        <w:t xml:space="preserve">domestic BIU </w:t>
      </w:r>
      <w:r w:rsidR="00C52A1C">
        <w:t>eligible student</w:t>
      </w:r>
      <w:r>
        <w:t xml:space="preserve"> (EFTE)</w:t>
      </w:r>
      <w:r w:rsidR="00C52A1C">
        <w:t xml:space="preserve"> population over a baseline of fall 2004</w:t>
      </w:r>
      <w:r>
        <w:t xml:space="preserve">. </w:t>
      </w:r>
    </w:p>
    <w:p w14:paraId="63B99D97" w14:textId="77777777" w:rsidR="0088765D" w:rsidRDefault="00C52A1C" w:rsidP="00C52A1C">
      <w:r>
        <w:t xml:space="preserve">Every eligible FTE </w:t>
      </w:r>
      <w:r w:rsidR="00D664A0">
        <w:t xml:space="preserve">(EFTE) </w:t>
      </w:r>
      <w:r w:rsidR="007A454C">
        <w:t>enrolle</w:t>
      </w:r>
      <w:r>
        <w:t xml:space="preserve">d by a </w:t>
      </w:r>
      <w:r w:rsidR="007A454C">
        <w:t xml:space="preserve">graduate </w:t>
      </w:r>
      <w:r>
        <w:t xml:space="preserve">unit </w:t>
      </w:r>
      <w:r w:rsidR="00D664A0">
        <w:t xml:space="preserve">above </w:t>
      </w:r>
      <w:r w:rsidR="00D664A0" w:rsidRPr="00D664A0">
        <w:t xml:space="preserve">the fall 2004 baseline </w:t>
      </w:r>
      <w:r w:rsidR="007A454C">
        <w:t>attracts</w:t>
      </w:r>
      <w:r>
        <w:t xml:space="preserve"> $9,000 </w:t>
      </w:r>
      <w:r w:rsidR="007A454C">
        <w:t>from the</w:t>
      </w:r>
      <w:r>
        <w:t xml:space="preserve"> GEF pool. </w:t>
      </w:r>
      <w:r w:rsidR="007A454C">
        <w:t>The</w:t>
      </w:r>
      <w:r>
        <w:t xml:space="preserve"> $9,000 is </w:t>
      </w:r>
      <w:r w:rsidR="007A454C">
        <w:t xml:space="preserve">notionally </w:t>
      </w:r>
      <w:r>
        <w:t xml:space="preserve">distributed </w:t>
      </w:r>
      <w:r w:rsidR="007A454C">
        <w:t xml:space="preserve">on the basis of </w:t>
      </w:r>
      <w:r>
        <w:t xml:space="preserve">three </w:t>
      </w:r>
      <w:r w:rsidR="007A454C">
        <w:t>criteria</w:t>
      </w:r>
      <w:r>
        <w:t xml:space="preserve">, each </w:t>
      </w:r>
      <w:r w:rsidR="007A454C">
        <w:t xml:space="preserve">of which has </w:t>
      </w:r>
      <w:r>
        <w:t>its own allocation methodology.</w:t>
      </w:r>
      <w:r w:rsidR="008E3901">
        <w:t xml:space="preserve"> </w:t>
      </w:r>
    </w:p>
    <w:p w14:paraId="62DF8B43" w14:textId="77777777" w:rsidR="0088765D" w:rsidRDefault="0088765D" w:rsidP="00C52A1C">
      <w:r>
        <w:t>Across its 3 sections this document will address the following aspects of GEF funding:</w:t>
      </w:r>
    </w:p>
    <w:p w14:paraId="34EE6846" w14:textId="77777777" w:rsidR="008E3901" w:rsidRDefault="008E3901" w:rsidP="0088765D">
      <w:pPr>
        <w:pStyle w:val="ListParagraph"/>
        <w:numPr>
          <w:ilvl w:val="0"/>
          <w:numId w:val="10"/>
        </w:numPr>
      </w:pPr>
      <w:r>
        <w:t>Section 1</w:t>
      </w:r>
      <w:r w:rsidR="0088765D">
        <w:t xml:space="preserve">: </w:t>
      </w:r>
      <w:r>
        <w:t xml:space="preserve"> </w:t>
      </w:r>
      <w:r w:rsidR="0088765D">
        <w:t>Outlines the allocation mechanism for each GEF distribution criteria.</w:t>
      </w:r>
    </w:p>
    <w:p w14:paraId="39232497" w14:textId="77777777" w:rsidR="008E3901" w:rsidRDefault="0088765D" w:rsidP="0088765D">
      <w:pPr>
        <w:pStyle w:val="ListParagraph"/>
        <w:numPr>
          <w:ilvl w:val="0"/>
          <w:numId w:val="10"/>
        </w:numPr>
      </w:pPr>
      <w:r>
        <w:t>Section 2:  Details the annual GEF funds distribution protocol</w:t>
      </w:r>
      <w:r w:rsidR="008E3901">
        <w:t>.</w:t>
      </w:r>
    </w:p>
    <w:p w14:paraId="143F828F" w14:textId="77777777" w:rsidR="00C06143" w:rsidRDefault="0088765D" w:rsidP="0088765D">
      <w:pPr>
        <w:pStyle w:val="ListParagraph"/>
        <w:numPr>
          <w:ilvl w:val="0"/>
          <w:numId w:val="10"/>
        </w:numPr>
      </w:pPr>
      <w:r>
        <w:t>Section 3:  The purpose for the operating account structure in each unit is discussed.</w:t>
      </w:r>
      <w:r w:rsidR="00C06143">
        <w:tab/>
      </w:r>
    </w:p>
    <w:p w14:paraId="63806949" w14:textId="77777777" w:rsidR="0088765D" w:rsidRDefault="0088765D" w:rsidP="0088765D"/>
    <w:p w14:paraId="5053FE58" w14:textId="77777777" w:rsidR="008E3901" w:rsidRPr="008E3901" w:rsidRDefault="00776C01" w:rsidP="00776C01">
      <w:pPr>
        <w:pStyle w:val="Heading2"/>
      </w:pPr>
      <w:r>
        <w:t xml:space="preserve">Section 1: </w:t>
      </w:r>
      <w:r w:rsidR="008E3901" w:rsidRPr="008E3901">
        <w:t>ALLOCATION M</w:t>
      </w:r>
      <w:r>
        <w:t xml:space="preserve">echanism for the </w:t>
      </w:r>
      <w:r w:rsidR="008B0698">
        <w:t xml:space="preserve">3 </w:t>
      </w:r>
      <w:r>
        <w:t>Distribution Criteria</w:t>
      </w:r>
      <w:r w:rsidR="008E3901" w:rsidRPr="008E3901">
        <w:t xml:space="preserve"> </w:t>
      </w:r>
    </w:p>
    <w:p w14:paraId="4151543B" w14:textId="77777777" w:rsidR="00C52A1C" w:rsidRPr="00FE4DDB" w:rsidRDefault="00776C01" w:rsidP="00776C01">
      <w:pPr>
        <w:pStyle w:val="Heading5"/>
      </w:pPr>
      <w:r>
        <w:t xml:space="preserve">Criteria (i) </w:t>
      </w:r>
      <w:r w:rsidR="00C52A1C" w:rsidRPr="00FE4DDB">
        <w:t>– Supervisory Capacity (value: $7,000</w:t>
      </w:r>
      <w:r w:rsidR="002F4548">
        <w:t xml:space="preserve">, or </w:t>
      </w:r>
      <w:r w:rsidR="00D60648">
        <w:t>7/9ths</w:t>
      </w:r>
      <w:r w:rsidR="00C52A1C" w:rsidRPr="00FE4DDB">
        <w:t>)</w:t>
      </w:r>
    </w:p>
    <w:p w14:paraId="6819223D" w14:textId="77777777" w:rsidR="00C52A1C" w:rsidRDefault="00C52A1C" w:rsidP="00C52A1C">
      <w:r>
        <w:t xml:space="preserve">The allocation </w:t>
      </w:r>
      <w:r w:rsidR="00A46680">
        <w:t xml:space="preserve">for the supervisory capacity </w:t>
      </w:r>
      <w:r>
        <w:t xml:space="preserve">is split based on the percentage of graduate supervisory capacity that </w:t>
      </w:r>
      <w:r w:rsidR="00FE4DDB">
        <w:t>occurs in each campus for the</w:t>
      </w:r>
      <w:r w:rsidR="00D72EA0">
        <w:t xml:space="preserve"> graduate</w:t>
      </w:r>
      <w:r w:rsidR="00FE4DDB">
        <w:t xml:space="preserve"> unit. </w:t>
      </w:r>
    </w:p>
    <w:p w14:paraId="274370F4" w14:textId="77777777" w:rsidR="002F4548" w:rsidRDefault="002F4548" w:rsidP="00C52A1C">
      <w:r>
        <w:t>Consider the following example:</w:t>
      </w:r>
    </w:p>
    <w:p w14:paraId="6150FE9B" w14:textId="0388055B" w:rsidR="002F4548" w:rsidRDefault="002F4548" w:rsidP="000C3A08">
      <w:pPr>
        <w:pStyle w:val="ListParagraph"/>
        <w:numPr>
          <w:ilvl w:val="0"/>
          <w:numId w:val="11"/>
        </w:numPr>
      </w:pPr>
      <w:r>
        <w:t xml:space="preserve">The Department of </w:t>
      </w:r>
      <w:r w:rsidR="00050F5C">
        <w:t>Classics</w:t>
      </w:r>
      <w:r w:rsidR="000C3A08">
        <w:t xml:space="preserve"> </w:t>
      </w:r>
      <w:r w:rsidR="00940455">
        <w:t xml:space="preserve">has grown by </w:t>
      </w:r>
      <w:r w:rsidR="00050F5C">
        <w:t>9.0</w:t>
      </w:r>
      <w:r w:rsidR="000C3A08">
        <w:t xml:space="preserve"> </w:t>
      </w:r>
      <w:r>
        <w:t xml:space="preserve">graduate </w:t>
      </w:r>
      <w:r w:rsidR="00FE4DDB">
        <w:t>EFTEs over its fall 2004 baseline.</w:t>
      </w:r>
    </w:p>
    <w:p w14:paraId="7B446276" w14:textId="3E4D957A" w:rsidR="00FE4DDB" w:rsidRDefault="00050F5C" w:rsidP="002F4548">
      <w:pPr>
        <w:pStyle w:val="ListParagraph"/>
        <w:numPr>
          <w:ilvl w:val="0"/>
          <w:numId w:val="11"/>
        </w:numPr>
      </w:pPr>
      <w:r>
        <w:t>CLA</w:t>
      </w:r>
      <w:r w:rsidR="000C3A08">
        <w:t xml:space="preserve"> </w:t>
      </w:r>
      <w:r w:rsidR="00940455">
        <w:t xml:space="preserve">has a total of </w:t>
      </w:r>
      <w:r>
        <w:t>18.75</w:t>
      </w:r>
      <w:r w:rsidR="00FE4DDB">
        <w:t xml:space="preserve"> FTEs </w:t>
      </w:r>
      <w:r w:rsidR="002F4548">
        <w:t>faculty with</w:t>
      </w:r>
      <w:r w:rsidR="00FE4DDB">
        <w:t xml:space="preserve"> graduate supervisory capacity distributed as follows:</w:t>
      </w:r>
    </w:p>
    <w:p w14:paraId="09824720" w14:textId="732DE3CD" w:rsidR="00C52A1C" w:rsidRDefault="00FE4DDB" w:rsidP="002F4548">
      <w:pPr>
        <w:pStyle w:val="ListParagraph"/>
        <w:numPr>
          <w:ilvl w:val="0"/>
          <w:numId w:val="12"/>
        </w:numPr>
      </w:pPr>
      <w:r>
        <w:t xml:space="preserve">St. George </w:t>
      </w:r>
      <w:r w:rsidR="000C3A08">
        <w:t>–</w:t>
      </w:r>
      <w:r>
        <w:t xml:space="preserve"> </w:t>
      </w:r>
      <w:r w:rsidR="00050F5C">
        <w:t>13.75</w:t>
      </w:r>
      <w:r>
        <w:t xml:space="preserve"> FTEs</w:t>
      </w:r>
    </w:p>
    <w:p w14:paraId="65EF4CA5" w14:textId="4761FCD2" w:rsidR="00FE4DDB" w:rsidRDefault="00940455" w:rsidP="002F4548">
      <w:pPr>
        <w:pStyle w:val="ListParagraph"/>
        <w:numPr>
          <w:ilvl w:val="0"/>
          <w:numId w:val="12"/>
        </w:numPr>
      </w:pPr>
      <w:r>
        <w:t xml:space="preserve">UTM </w:t>
      </w:r>
      <w:r w:rsidR="00050F5C">
        <w:t>–</w:t>
      </w:r>
      <w:r>
        <w:t xml:space="preserve"> </w:t>
      </w:r>
      <w:r w:rsidR="00050F5C">
        <w:t>4.0</w:t>
      </w:r>
      <w:r w:rsidR="00FE4DDB">
        <w:t xml:space="preserve"> FTEs</w:t>
      </w:r>
    </w:p>
    <w:p w14:paraId="285C54B9" w14:textId="5F9085BA" w:rsidR="00FE4DDB" w:rsidRDefault="00940455" w:rsidP="002F4548">
      <w:pPr>
        <w:pStyle w:val="ListParagraph"/>
        <w:numPr>
          <w:ilvl w:val="0"/>
          <w:numId w:val="12"/>
        </w:numPr>
      </w:pPr>
      <w:r>
        <w:t xml:space="preserve">UTSC </w:t>
      </w:r>
      <w:r w:rsidR="00050F5C">
        <w:t>–</w:t>
      </w:r>
      <w:r>
        <w:t xml:space="preserve"> </w:t>
      </w:r>
      <w:r w:rsidR="00050F5C">
        <w:t>1.0</w:t>
      </w:r>
      <w:r w:rsidR="00FE4DDB">
        <w:t xml:space="preserve"> FTEs</w:t>
      </w:r>
    </w:p>
    <w:p w14:paraId="792AFD91" w14:textId="167073ED" w:rsidR="002F4548" w:rsidRDefault="002F4548" w:rsidP="00FE4DDB">
      <w:r>
        <w:t>This</w:t>
      </w:r>
      <w:r w:rsidR="00FE4DDB">
        <w:t xml:space="preserve"> growth will generate $</w:t>
      </w:r>
      <w:r w:rsidR="00050F5C">
        <w:t>81,000</w:t>
      </w:r>
      <w:r w:rsidR="00940455">
        <w:t xml:space="preserve"> (</w:t>
      </w:r>
      <w:r w:rsidR="00050F5C">
        <w:t>9.</w:t>
      </w:r>
      <w:r w:rsidR="00FE4DDB">
        <w:t>0 FTEs * $9,000) overall for the GEF</w:t>
      </w:r>
      <w:r w:rsidR="00D60648">
        <w:t>.</w:t>
      </w:r>
      <w:r w:rsidR="00FE4DDB">
        <w:t xml:space="preserve"> </w:t>
      </w:r>
      <w:r>
        <w:t>This will be allocated as follows:</w:t>
      </w:r>
    </w:p>
    <w:p w14:paraId="014EA502" w14:textId="6FF093C4" w:rsidR="00FE4DDB" w:rsidRDefault="00940455" w:rsidP="002F4548">
      <w:pPr>
        <w:pStyle w:val="ListParagraph"/>
        <w:numPr>
          <w:ilvl w:val="0"/>
          <w:numId w:val="14"/>
        </w:numPr>
      </w:pPr>
      <w:r>
        <w:t>$</w:t>
      </w:r>
      <w:r w:rsidR="00050F5C">
        <w:t>63,000</w:t>
      </w:r>
      <w:r w:rsidR="00FE4DDB">
        <w:t xml:space="preserve"> </w:t>
      </w:r>
      <w:r w:rsidR="00D60648">
        <w:t xml:space="preserve">of which </w:t>
      </w:r>
      <w:r>
        <w:t>($</w:t>
      </w:r>
      <w:r w:rsidR="00050F5C">
        <w:t>81,000</w:t>
      </w:r>
      <w:r w:rsidR="00FE4DDB">
        <w:t xml:space="preserve"> * 7/9ths) will be allocated based on its tri-campus supervisory capacity.</w:t>
      </w:r>
    </w:p>
    <w:p w14:paraId="411CDE9F" w14:textId="40AE1768" w:rsidR="00FE4DDB" w:rsidRDefault="00FE4DDB" w:rsidP="002F4548">
      <w:pPr>
        <w:pStyle w:val="ListParagraph"/>
        <w:numPr>
          <w:ilvl w:val="0"/>
          <w:numId w:val="15"/>
        </w:numPr>
      </w:pPr>
      <w:r>
        <w:t>St. George rece</w:t>
      </w:r>
      <w:r w:rsidR="00940455">
        <w:t>ives $</w:t>
      </w:r>
      <w:r w:rsidR="00050F5C">
        <w:t>46,200</w:t>
      </w:r>
      <w:r w:rsidR="00940455">
        <w:t xml:space="preserve"> as it has </w:t>
      </w:r>
      <w:r w:rsidR="00050F5C">
        <w:t>73.3</w:t>
      </w:r>
      <w:r>
        <w:t>% of</w:t>
      </w:r>
      <w:r w:rsidR="00940455">
        <w:t xml:space="preserve"> the supervisory capacity (</w:t>
      </w:r>
      <w:r w:rsidR="00050F5C">
        <w:t>13.75</w:t>
      </w:r>
      <w:r w:rsidR="00940455">
        <w:t>/</w:t>
      </w:r>
      <w:r w:rsidR="00050F5C">
        <w:t>18.75</w:t>
      </w:r>
      <w:r>
        <w:t xml:space="preserve"> * $</w:t>
      </w:r>
      <w:r w:rsidR="00050F5C">
        <w:t>63,000</w:t>
      </w:r>
      <w:r>
        <w:t>).</w:t>
      </w:r>
    </w:p>
    <w:p w14:paraId="0B9549A4" w14:textId="2CE866ED" w:rsidR="00940455" w:rsidRDefault="00FE4DDB" w:rsidP="002F4548">
      <w:pPr>
        <w:pStyle w:val="ListParagraph"/>
        <w:numPr>
          <w:ilvl w:val="0"/>
          <w:numId w:val="15"/>
        </w:numPr>
      </w:pPr>
      <w:r>
        <w:t xml:space="preserve">UTM </w:t>
      </w:r>
      <w:r w:rsidR="00940455">
        <w:t>receives $</w:t>
      </w:r>
      <w:r w:rsidR="00050F5C">
        <w:t>13,440</w:t>
      </w:r>
      <w:r w:rsidR="00940455">
        <w:t xml:space="preserve"> </w:t>
      </w:r>
      <w:r w:rsidR="00615F3A">
        <w:t xml:space="preserve">as it has </w:t>
      </w:r>
      <w:r w:rsidR="00050F5C">
        <w:t>21.3</w:t>
      </w:r>
      <w:r w:rsidR="00615F3A">
        <w:t>% of the supervisory capacity (</w:t>
      </w:r>
      <w:r w:rsidR="00050F5C">
        <w:t>4.0</w:t>
      </w:r>
      <w:r w:rsidR="00615F3A">
        <w:t>/</w:t>
      </w:r>
      <w:r w:rsidR="00050F5C">
        <w:t>18.75</w:t>
      </w:r>
      <w:r w:rsidR="00615F3A">
        <w:t xml:space="preserve"> * $</w:t>
      </w:r>
      <w:r w:rsidR="00050F5C">
        <w:t>6</w:t>
      </w:r>
      <w:r w:rsidR="00615F3A">
        <w:t>3,000)</w:t>
      </w:r>
      <w:r w:rsidR="00940455">
        <w:t>.</w:t>
      </w:r>
    </w:p>
    <w:p w14:paraId="7936C947" w14:textId="2238C3A0" w:rsidR="00FE4DDB" w:rsidRDefault="00FE4DDB" w:rsidP="00940455">
      <w:pPr>
        <w:pStyle w:val="ListParagraph"/>
        <w:numPr>
          <w:ilvl w:val="0"/>
          <w:numId w:val="15"/>
        </w:numPr>
      </w:pPr>
      <w:r>
        <w:t>UTSC</w:t>
      </w:r>
      <w:r w:rsidR="00940455">
        <w:t xml:space="preserve"> receives $</w:t>
      </w:r>
      <w:r w:rsidR="00050F5C">
        <w:t>3,360</w:t>
      </w:r>
      <w:r w:rsidR="00940455">
        <w:t xml:space="preserve"> has it has </w:t>
      </w:r>
      <w:r w:rsidR="004A78BB">
        <w:t>5.3</w:t>
      </w:r>
      <w:r w:rsidR="00940455">
        <w:t>% of the supervisory capacity (</w:t>
      </w:r>
      <w:r w:rsidR="00050F5C">
        <w:t>1.0</w:t>
      </w:r>
      <w:r w:rsidR="00615F3A">
        <w:t>/</w:t>
      </w:r>
      <w:r w:rsidR="00050F5C">
        <w:t>18.75</w:t>
      </w:r>
      <w:r w:rsidR="00940455">
        <w:t xml:space="preserve"> * $</w:t>
      </w:r>
      <w:r w:rsidR="00050F5C">
        <w:t>6</w:t>
      </w:r>
      <w:r w:rsidR="00940455">
        <w:t>3,000).</w:t>
      </w:r>
    </w:p>
    <w:p w14:paraId="45D4AB8B" w14:textId="77777777" w:rsidR="00FE4DDB" w:rsidRDefault="00FE4DDB" w:rsidP="00FE4DDB">
      <w:pPr>
        <w:pStyle w:val="ListParagraph"/>
      </w:pPr>
      <w:bookmarkStart w:id="0" w:name="_GoBack"/>
      <w:bookmarkEnd w:id="0"/>
    </w:p>
    <w:p w14:paraId="0AC5CBFD" w14:textId="0AD70FC6" w:rsidR="00816472" w:rsidRDefault="00940455" w:rsidP="00816472">
      <w:pPr>
        <w:pStyle w:val="ListParagraph"/>
        <w:ind w:left="0"/>
      </w:pPr>
      <w:r>
        <w:t>T</w:t>
      </w:r>
      <w:r w:rsidR="00917732">
        <w:t xml:space="preserve">he </w:t>
      </w:r>
      <w:r w:rsidR="00050F5C">
        <w:t>18-19</w:t>
      </w:r>
      <w:r w:rsidR="00BC7CB3">
        <w:t xml:space="preserve"> </w:t>
      </w:r>
      <w:r w:rsidR="00917732">
        <w:t>GEF spreadsheet</w:t>
      </w:r>
      <w:r w:rsidR="00816472">
        <w:t xml:space="preserve"> </w:t>
      </w:r>
      <w:r>
        <w:t xml:space="preserve">in </w:t>
      </w:r>
      <w:r w:rsidR="00816472">
        <w:t xml:space="preserve">Columns 6 through 9 show the supervisory </w:t>
      </w:r>
      <w:r w:rsidR="002F4548">
        <w:t>capacity for each unit and</w:t>
      </w:r>
      <w:r w:rsidR="00816472">
        <w:t xml:space="preserve"> columns 10 through 13 shows the funding tied to supervisory capacity.</w:t>
      </w:r>
    </w:p>
    <w:p w14:paraId="612F703D" w14:textId="77777777" w:rsidR="00C06143" w:rsidRDefault="00C06143" w:rsidP="00816472">
      <w:pPr>
        <w:pStyle w:val="ListParagraph"/>
        <w:ind w:left="0"/>
      </w:pPr>
    </w:p>
    <w:p w14:paraId="73F1D15D" w14:textId="77777777" w:rsidR="00C06143" w:rsidRDefault="002F4548" w:rsidP="002F4548">
      <w:pPr>
        <w:pStyle w:val="ListParagraph"/>
        <w:numPr>
          <w:ilvl w:val="0"/>
          <w:numId w:val="16"/>
        </w:numPr>
        <w:ind w:left="851"/>
      </w:pPr>
      <w:r>
        <w:t>Faculty</w:t>
      </w:r>
      <w:r w:rsidR="008B0698">
        <w:t xml:space="preserve"> graduate appointments drive s</w:t>
      </w:r>
      <w:r w:rsidR="00C06143">
        <w:t>upervisory capacity</w:t>
      </w:r>
      <w:r w:rsidR="008B0698">
        <w:t xml:space="preserve">.  This </w:t>
      </w:r>
      <w:r w:rsidR="00C06143">
        <w:t xml:space="preserve">data is </w:t>
      </w:r>
      <w:r w:rsidR="008B0698">
        <w:t xml:space="preserve">updated by each unit and verified by </w:t>
      </w:r>
      <w:r w:rsidR="00C06143">
        <w:t>the Facul</w:t>
      </w:r>
      <w:r w:rsidR="008B0698">
        <w:t>ty’s Human Resources office.</w:t>
      </w:r>
    </w:p>
    <w:p w14:paraId="1EF9CAA2" w14:textId="77777777" w:rsidR="00A46680" w:rsidRDefault="00C06143" w:rsidP="00A46680">
      <w:pPr>
        <w:pStyle w:val="ListParagraph"/>
        <w:numPr>
          <w:ilvl w:val="0"/>
          <w:numId w:val="16"/>
        </w:numPr>
        <w:ind w:left="851"/>
      </w:pPr>
      <w:r>
        <w:t xml:space="preserve">Enrolment data is </w:t>
      </w:r>
      <w:r w:rsidR="008B0698">
        <w:t>collected</w:t>
      </w:r>
      <w:r w:rsidR="000C5C98">
        <w:t xml:space="preserve"> by the Faculty Finance Office</w:t>
      </w:r>
      <w:r>
        <w:t xml:space="preserve"> from the </w:t>
      </w:r>
      <w:r w:rsidR="000C5C98">
        <w:t xml:space="preserve">University’s </w:t>
      </w:r>
      <w:r w:rsidR="008B0698">
        <w:t xml:space="preserve">official record of student enrolment, as reported in the University’s </w:t>
      </w:r>
      <w:r>
        <w:t xml:space="preserve">Cognos Powerplay Data Repository Cubes. </w:t>
      </w:r>
    </w:p>
    <w:p w14:paraId="6FDF676A" w14:textId="77777777" w:rsidR="00395468" w:rsidRPr="00C06143" w:rsidRDefault="00395468" w:rsidP="00A46680"/>
    <w:p w14:paraId="688F410C" w14:textId="77777777" w:rsidR="00FE4DDB" w:rsidRPr="00FE4DDB" w:rsidRDefault="008B0698" w:rsidP="008B0698">
      <w:pPr>
        <w:pStyle w:val="Heading5"/>
      </w:pPr>
      <w:r>
        <w:lastRenderedPageBreak/>
        <w:t>Criteria (ii)</w:t>
      </w:r>
      <w:r w:rsidR="00FE4DDB" w:rsidRPr="00FE4DDB">
        <w:t xml:space="preserve"> –</w:t>
      </w:r>
      <w:r>
        <w:t xml:space="preserve"> </w:t>
      </w:r>
      <w:r w:rsidR="00FE4DDB">
        <w:t>Domestic Students</w:t>
      </w:r>
      <w:r w:rsidR="00AA71DB">
        <w:t xml:space="preserve"> (FTEs)</w:t>
      </w:r>
      <w:r w:rsidR="00FE4DDB">
        <w:t xml:space="preserve"> in the Funded Cohort with External Scholarships</w:t>
      </w:r>
      <w:r w:rsidR="00FE4DDB" w:rsidRPr="00FE4DDB">
        <w:t xml:space="preserve"> </w:t>
      </w:r>
      <w:r w:rsidR="00FE4DDB">
        <w:t>(value: $1</w:t>
      </w:r>
      <w:r w:rsidR="00FE4DDB" w:rsidRPr="00FE4DDB">
        <w:t>,000</w:t>
      </w:r>
      <w:r w:rsidR="00D60648">
        <w:t xml:space="preserve"> – 1/9th</w:t>
      </w:r>
      <w:r w:rsidR="00FE4DDB" w:rsidRPr="00FE4DDB">
        <w:t>)</w:t>
      </w:r>
    </w:p>
    <w:p w14:paraId="5ABF46CB" w14:textId="77777777" w:rsidR="00FE4DDB" w:rsidRDefault="00816472" w:rsidP="00FE4DDB">
      <w:r>
        <w:t xml:space="preserve">This allocation is spread across all </w:t>
      </w:r>
      <w:r w:rsidR="00D60648">
        <w:t xml:space="preserve">St. George </w:t>
      </w:r>
      <w:r w:rsidR="008B0698">
        <w:t xml:space="preserve">Arts &amp; Science </w:t>
      </w:r>
      <w:r>
        <w:t xml:space="preserve">units based on their percentage of </w:t>
      </w:r>
      <w:r w:rsidR="008B0698">
        <w:t xml:space="preserve">Faculty’s </w:t>
      </w:r>
      <w:r>
        <w:t xml:space="preserve">domestic </w:t>
      </w:r>
      <w:r w:rsidR="008B0698">
        <w:t xml:space="preserve">graduate </w:t>
      </w:r>
      <w:r>
        <w:t>students in the funded cohort with external s</w:t>
      </w:r>
      <w:r w:rsidRPr="00816472">
        <w:t>cholarships</w:t>
      </w:r>
      <w:r>
        <w:t>.</w:t>
      </w:r>
      <w:r w:rsidR="00D60648">
        <w:t xml:space="preserve"> </w:t>
      </w:r>
    </w:p>
    <w:p w14:paraId="770BC6FD" w14:textId="0902900E" w:rsidR="00AA71DB" w:rsidRDefault="00816472" w:rsidP="00FE4DDB">
      <w:r>
        <w:t>Every unit generate</w:t>
      </w:r>
      <w:r w:rsidR="00312A72">
        <w:t>s</w:t>
      </w:r>
      <w:r w:rsidR="00DE7908">
        <w:t xml:space="preserve"> $1,000 for the overall </w:t>
      </w:r>
      <w:r w:rsidR="00312A72">
        <w:t xml:space="preserve">Faculty </w:t>
      </w:r>
      <w:r w:rsidR="00DE7908">
        <w:t xml:space="preserve">pool </w:t>
      </w:r>
      <w:r>
        <w:t xml:space="preserve">per </w:t>
      </w:r>
      <w:r w:rsidR="00312A72">
        <w:t xml:space="preserve">each </w:t>
      </w:r>
      <w:r>
        <w:t xml:space="preserve">1.0 EFTE growth over their </w:t>
      </w:r>
      <w:r w:rsidR="00940455">
        <w:t xml:space="preserve">fall 2004 baseline. In fall </w:t>
      </w:r>
      <w:r w:rsidR="00596763">
        <w:t>2018</w:t>
      </w:r>
      <w:r>
        <w:t xml:space="preserve">, </w:t>
      </w:r>
      <w:r w:rsidR="00312A72">
        <w:t xml:space="preserve">A&amp;S graduate </w:t>
      </w:r>
      <w:r>
        <w:t xml:space="preserve">units grew </w:t>
      </w:r>
      <w:r w:rsidR="00312A72">
        <w:t>by</w:t>
      </w:r>
      <w:r w:rsidR="00940455">
        <w:t xml:space="preserve"> </w:t>
      </w:r>
      <w:r w:rsidR="00596763">
        <w:t>818.1</w:t>
      </w:r>
      <w:r>
        <w:t xml:space="preserve"> EFTEs over their fall 2004 baseline (</w:t>
      </w:r>
      <w:r w:rsidR="00940455">
        <w:t>1</w:t>
      </w:r>
      <w:r w:rsidR="00596763">
        <w:t>8-19</w:t>
      </w:r>
      <w:r w:rsidR="00A91B63">
        <w:t xml:space="preserve"> GEF </w:t>
      </w:r>
      <w:r w:rsidR="00312A72">
        <w:t>spreadsheets</w:t>
      </w:r>
      <w:r w:rsidR="00A91B63">
        <w:t xml:space="preserve"> -</w:t>
      </w:r>
      <w:r>
        <w:t xml:space="preserve"> column 4). </w:t>
      </w:r>
    </w:p>
    <w:p w14:paraId="19DDD1AC" w14:textId="03BD8EDD" w:rsidR="00AA71DB" w:rsidRDefault="009C52E1" w:rsidP="00FE4DDB">
      <w:r>
        <w:t>As a result,</w:t>
      </w:r>
      <w:r w:rsidR="00940455">
        <w:t xml:space="preserve"> a pool of $</w:t>
      </w:r>
      <w:r w:rsidR="00596763">
        <w:t>818,100</w:t>
      </w:r>
      <w:r w:rsidR="00940455">
        <w:t xml:space="preserve"> (</w:t>
      </w:r>
      <w:r w:rsidR="00596763">
        <w:t>818.1</w:t>
      </w:r>
      <w:r w:rsidR="00816472">
        <w:t xml:space="preserve"> * $1,000) </w:t>
      </w:r>
      <w:r w:rsidR="00AA71DB">
        <w:t>was created for distribution based on total domestic students in the funded cohort with external s</w:t>
      </w:r>
      <w:r w:rsidR="00AA71DB" w:rsidRPr="00AA71DB">
        <w:t>cholarships</w:t>
      </w:r>
      <w:r w:rsidR="00AA71DB">
        <w:t xml:space="preserve">. </w:t>
      </w:r>
    </w:p>
    <w:p w14:paraId="6DC16D67" w14:textId="675DBC9B" w:rsidR="00AA71DB" w:rsidRDefault="00940455" w:rsidP="00FE4DDB">
      <w:r>
        <w:t>For example, in fall 201</w:t>
      </w:r>
      <w:r w:rsidR="00596763">
        <w:t>8</w:t>
      </w:r>
      <w:r w:rsidR="00312A72">
        <w:t xml:space="preserve"> t</w:t>
      </w:r>
      <w:r w:rsidR="00AA71DB">
        <w:t xml:space="preserve">he </w:t>
      </w:r>
      <w:r w:rsidR="00ED3210">
        <w:t>History of Art</w:t>
      </w:r>
      <w:r w:rsidR="007F3AF7">
        <w:t xml:space="preserve"> (</w:t>
      </w:r>
      <w:r w:rsidR="00ED3210">
        <w:t>ART</w:t>
      </w:r>
      <w:r w:rsidR="007F3AF7">
        <w:t>)</w:t>
      </w:r>
      <w:r w:rsidR="00312A72">
        <w:t xml:space="preserve"> </w:t>
      </w:r>
      <w:r w:rsidR="00AA71DB">
        <w:t xml:space="preserve">had </w:t>
      </w:r>
      <w:r w:rsidR="00ED3210">
        <w:t>1</w:t>
      </w:r>
      <w:r w:rsidR="00596763">
        <w:t>1</w:t>
      </w:r>
      <w:r w:rsidR="00AA71DB">
        <w:t xml:space="preserve">.00 domestic FTEs in the funded cohort who received external scholarships. </w:t>
      </w:r>
      <w:r w:rsidR="00312A72">
        <w:t>T</w:t>
      </w:r>
      <w:r>
        <w:t xml:space="preserve">he Faculty has </w:t>
      </w:r>
      <w:r w:rsidR="00596763">
        <w:t>730.66</w:t>
      </w:r>
      <w:r w:rsidR="00AA71DB">
        <w:t xml:space="preserve"> domestic FTEs</w:t>
      </w:r>
      <w:r w:rsidR="00AA71DB" w:rsidRPr="00AA71DB">
        <w:t xml:space="preserve"> </w:t>
      </w:r>
      <w:r w:rsidR="00AA71DB">
        <w:t xml:space="preserve">in the funded cohort who received external scholarships. </w:t>
      </w:r>
    </w:p>
    <w:p w14:paraId="308EF1EB" w14:textId="0D03F0AC" w:rsidR="00AA71DB" w:rsidRDefault="00AA71DB" w:rsidP="00AA71DB">
      <w:r>
        <w:t xml:space="preserve">The </w:t>
      </w:r>
      <w:r w:rsidR="00596763">
        <w:t>History of Art</w:t>
      </w:r>
      <w:r w:rsidR="00940455">
        <w:t xml:space="preserve"> will receive $</w:t>
      </w:r>
      <w:r w:rsidR="00596763">
        <w:t xml:space="preserve">12,316 </w:t>
      </w:r>
      <w:r w:rsidR="00D60648">
        <w:t>dollars</w:t>
      </w:r>
      <w:r w:rsidR="00DE7908">
        <w:t xml:space="preserve"> for this metric</w:t>
      </w:r>
      <w:r w:rsidR="00D60648">
        <w:t>.</w:t>
      </w:r>
      <w:r w:rsidR="009C52E1">
        <w:t xml:space="preserve"> The formula is as follows:</w:t>
      </w:r>
    </w:p>
    <w:p w14:paraId="76E3949E" w14:textId="77777777" w:rsidR="00AA71DB" w:rsidRDefault="00AA71DB" w:rsidP="00AA71DB">
      <w:r>
        <w:tab/>
        <w:t xml:space="preserve">= </w:t>
      </w:r>
      <w:r w:rsidR="007F3AF7">
        <w:t>(</w:t>
      </w:r>
      <w:r>
        <w:t>Unit FTEs / Faculty FTEs</w:t>
      </w:r>
      <w:r w:rsidR="007F3AF7">
        <w:t>)</w:t>
      </w:r>
      <w:r>
        <w:t xml:space="preserve"> * Allocation Pool</w:t>
      </w:r>
    </w:p>
    <w:p w14:paraId="13C95FD9" w14:textId="3E1F29E8" w:rsidR="00AA71DB" w:rsidRDefault="00AA71DB" w:rsidP="00AA71DB">
      <w:r>
        <w:tab/>
        <w:t xml:space="preserve">= </w:t>
      </w:r>
      <w:r w:rsidR="007F3AF7">
        <w:t>(</w:t>
      </w:r>
      <w:r w:rsidR="00ED3210">
        <w:t>1</w:t>
      </w:r>
      <w:r w:rsidR="00596763">
        <w:t>1</w:t>
      </w:r>
      <w:r>
        <w:t xml:space="preserve">.00 / </w:t>
      </w:r>
      <w:r w:rsidR="00596763">
        <w:t>730.66</w:t>
      </w:r>
      <w:r w:rsidR="007F3AF7">
        <w:t xml:space="preserve">) </w:t>
      </w:r>
      <w:r w:rsidR="00940455">
        <w:t>* $</w:t>
      </w:r>
      <w:r w:rsidR="00596763">
        <w:t>818,100</w:t>
      </w:r>
    </w:p>
    <w:p w14:paraId="2F6EB16B" w14:textId="2A8A074F" w:rsidR="00940455" w:rsidRDefault="00940455" w:rsidP="00AA71DB">
      <w:r>
        <w:tab/>
        <w:t>= $</w:t>
      </w:r>
      <w:r w:rsidR="00596763">
        <w:t>12,316</w:t>
      </w:r>
    </w:p>
    <w:p w14:paraId="44992871" w14:textId="2247C967" w:rsidR="00C06143" w:rsidRDefault="00D60648" w:rsidP="00AA71DB">
      <w:r>
        <w:t xml:space="preserve">These calculations </w:t>
      </w:r>
      <w:r w:rsidR="007F3AF7">
        <w:t xml:space="preserve">are shown </w:t>
      </w:r>
      <w:r>
        <w:t>in column</w:t>
      </w:r>
      <w:r w:rsidR="007F3AF7">
        <w:t>s</w:t>
      </w:r>
      <w:r w:rsidR="00940455">
        <w:t xml:space="preserve"> 14 &amp; 15 of the </w:t>
      </w:r>
      <w:r w:rsidR="00596763">
        <w:t>18-19</w:t>
      </w:r>
      <w:r>
        <w:t xml:space="preserve"> GEF spreadsheet.</w:t>
      </w:r>
    </w:p>
    <w:p w14:paraId="42B15755" w14:textId="77777777" w:rsidR="00C06143" w:rsidRDefault="00C06143" w:rsidP="00C06143">
      <w:pPr>
        <w:pStyle w:val="ListParagraph"/>
        <w:numPr>
          <w:ilvl w:val="0"/>
          <w:numId w:val="8"/>
        </w:numPr>
      </w:pPr>
      <w:r>
        <w:t xml:space="preserve">Data on the number of domestic student FTEs in the funded cohort with external scholarships is provided by the Graduate Research and Data Analyst in the </w:t>
      </w:r>
      <w:r w:rsidR="007F3AF7">
        <w:t>Vice-Dean Graduate</w:t>
      </w:r>
      <w:r>
        <w:t xml:space="preserve"> </w:t>
      </w:r>
      <w:r w:rsidR="00A91B63">
        <w:t xml:space="preserve">Office in consultation with the </w:t>
      </w:r>
      <w:r>
        <w:t>graduate units</w:t>
      </w:r>
    </w:p>
    <w:p w14:paraId="28704161" w14:textId="77777777" w:rsidR="00C06143" w:rsidRDefault="00C06143" w:rsidP="00C06143">
      <w:pPr>
        <w:pStyle w:val="ListParagraph"/>
      </w:pPr>
    </w:p>
    <w:p w14:paraId="7588F67C" w14:textId="77777777" w:rsidR="00D60648" w:rsidRDefault="007F3AF7" w:rsidP="007F3AF7">
      <w:pPr>
        <w:pStyle w:val="Heading5"/>
      </w:pPr>
      <w:r>
        <w:t>Criteria (iii)</w:t>
      </w:r>
      <w:r w:rsidR="00D60648">
        <w:t xml:space="preserve"> – St. George Graduate Unit Office Support (value: $1,000 – 1/9th)</w:t>
      </w:r>
    </w:p>
    <w:p w14:paraId="2264E17E" w14:textId="77777777" w:rsidR="007F3AF7" w:rsidRDefault="00D60648" w:rsidP="00AA71DB">
      <w:r w:rsidRPr="00D60648">
        <w:t>$1,000</w:t>
      </w:r>
      <w:r>
        <w:t xml:space="preserve"> goes to each St. George unit for every EFTE above their 2004 baseline to support the </w:t>
      </w:r>
      <w:r w:rsidR="009C52E1">
        <w:t xml:space="preserve">St. George </w:t>
      </w:r>
      <w:r>
        <w:t>graduate office of the unit.</w:t>
      </w:r>
      <w:r w:rsidR="009C52E1" w:rsidRPr="009C52E1">
        <w:t xml:space="preserve"> </w:t>
      </w:r>
    </w:p>
    <w:p w14:paraId="132B6EBA" w14:textId="78379ECC" w:rsidR="00D60648" w:rsidRDefault="007F3AF7" w:rsidP="00AA71DB">
      <w:r>
        <w:t xml:space="preserve">For example, </w:t>
      </w:r>
      <w:r w:rsidR="00596763">
        <w:t>East Asian Studies</w:t>
      </w:r>
      <w:r w:rsidR="006D53B1">
        <w:t xml:space="preserve"> has grown </w:t>
      </w:r>
      <w:r w:rsidR="00596763">
        <w:t>6.0</w:t>
      </w:r>
      <w:r w:rsidR="00D60648">
        <w:t xml:space="preserve"> EFTEs over their fall 2004</w:t>
      </w:r>
      <w:r w:rsidR="002E065F">
        <w:t xml:space="preserve"> baseline, they receive $</w:t>
      </w:r>
      <w:r w:rsidR="00596763">
        <w:t>6,000</w:t>
      </w:r>
      <w:r w:rsidR="006D53B1">
        <w:t xml:space="preserve"> (</w:t>
      </w:r>
      <w:r w:rsidR="00596763">
        <w:t>6.0 *</w:t>
      </w:r>
      <w:r w:rsidR="00D60648">
        <w:t xml:space="preserve"> $1,000).</w:t>
      </w:r>
    </w:p>
    <w:p w14:paraId="044381C8" w14:textId="52611A26" w:rsidR="008E3901" w:rsidRDefault="009C52E1" w:rsidP="00AA71DB">
      <w:r>
        <w:t xml:space="preserve">This can be seen in column </w:t>
      </w:r>
      <w:r w:rsidR="006D53B1">
        <w:t xml:space="preserve">16 of the </w:t>
      </w:r>
      <w:r w:rsidR="00596763">
        <w:t>18-19</w:t>
      </w:r>
      <w:r w:rsidR="00C06143">
        <w:t xml:space="preserve"> GEF spreadsheet.</w:t>
      </w:r>
    </w:p>
    <w:p w14:paraId="2CD68F94" w14:textId="77777777" w:rsidR="007F3AF7" w:rsidRDefault="007F3AF7">
      <w:r>
        <w:br w:type="page"/>
      </w:r>
    </w:p>
    <w:p w14:paraId="3E4EE3E7" w14:textId="77777777" w:rsidR="00C06143" w:rsidRDefault="007F3AF7" w:rsidP="007F3AF7">
      <w:pPr>
        <w:pStyle w:val="Heading2"/>
      </w:pPr>
      <w:r>
        <w:lastRenderedPageBreak/>
        <w:t>Section 2:  annual GEF funds distribution protocol</w:t>
      </w:r>
    </w:p>
    <w:p w14:paraId="7389E52A" w14:textId="77777777" w:rsidR="00C06143" w:rsidRDefault="007F3AF7" w:rsidP="008E3901">
      <w:r>
        <w:t>Graduate u</w:t>
      </w:r>
      <w:r w:rsidR="00C06143">
        <w:t xml:space="preserve">nits are provided </w:t>
      </w:r>
      <w:r>
        <w:t>partial (60%) GEF funding at the start of the fiscal year and well before the fall enrolment for that year is known.  This approach was taken to provide funds for the expected enrolment increase in the coming fall</w:t>
      </w:r>
      <w:r w:rsidR="00C06143">
        <w:t xml:space="preserve"> </w:t>
      </w:r>
      <w:r>
        <w:t>enrolment, and assist with recruitment. This is the R</w:t>
      </w:r>
      <w:r w:rsidR="00C06143">
        <w:t xml:space="preserve">ound 1 allocation </w:t>
      </w:r>
      <w:r>
        <w:t xml:space="preserve">that </w:t>
      </w:r>
      <w:r w:rsidR="00C06143">
        <w:t>is provided as part of each unit’s May 1</w:t>
      </w:r>
      <w:r w:rsidR="00C06143" w:rsidRPr="00C06143">
        <w:rPr>
          <w:vertAlign w:val="superscript"/>
        </w:rPr>
        <w:t>st</w:t>
      </w:r>
      <w:r w:rsidR="00C06143">
        <w:t xml:space="preserve"> budget. </w:t>
      </w:r>
      <w:r w:rsidR="00C537DB">
        <w:t>Round 2 is the adjustment for actual enrolments in the unit and takes place after the official counts are completed, typically by the start of the next calendar year.</w:t>
      </w:r>
    </w:p>
    <w:p w14:paraId="0C296AB5" w14:textId="77777777" w:rsidR="008E3901" w:rsidRDefault="00C06143" w:rsidP="008E3901">
      <w:r w:rsidRPr="00C537DB">
        <w:rPr>
          <w:rStyle w:val="Emphasis"/>
          <w:b/>
        </w:rPr>
        <w:t>Round 1</w:t>
      </w:r>
      <w:r>
        <w:t xml:space="preserve"> is calculated as follows:</w:t>
      </w:r>
    </w:p>
    <w:p w14:paraId="2BEF4B57" w14:textId="77777777" w:rsidR="00C06143" w:rsidRDefault="00C06143" w:rsidP="00C06143">
      <w:pPr>
        <w:pStyle w:val="ListParagraph"/>
        <w:numPr>
          <w:ilvl w:val="0"/>
          <w:numId w:val="8"/>
        </w:numPr>
      </w:pPr>
      <w:r>
        <w:t>(Prior Year Supervisory Capacity funding + Prior Year Graduate Unit Office Support</w:t>
      </w:r>
      <w:r w:rsidR="00883356">
        <w:t xml:space="preserve"> funding</w:t>
      </w:r>
      <w:r>
        <w:t>) * 60%</w:t>
      </w:r>
    </w:p>
    <w:p w14:paraId="162A1B2E" w14:textId="77777777" w:rsidR="00CF52E2" w:rsidRDefault="007F3AF7" w:rsidP="007F3AF7">
      <w:r>
        <w:t>To calculate your unit’s</w:t>
      </w:r>
      <w:r w:rsidR="00CF52E2">
        <w:t xml:space="preserve"> Round 1 </w:t>
      </w:r>
      <w:r>
        <w:t>allocation</w:t>
      </w:r>
      <w:r w:rsidR="00C537DB">
        <w:t xml:space="preserve"> for</w:t>
      </w:r>
      <w:r>
        <w:t xml:space="preserve"> </w:t>
      </w:r>
      <w:r w:rsidR="006D53B1">
        <w:t>201</w:t>
      </w:r>
      <w:r w:rsidR="002E065F">
        <w:t>8-19</w:t>
      </w:r>
      <w:r w:rsidR="00C537DB">
        <w:t xml:space="preserve"> </w:t>
      </w:r>
      <w:r w:rsidR="00CF52E2">
        <w:t>f</w:t>
      </w:r>
      <w:r w:rsidR="00C06143">
        <w:t xml:space="preserve">rom the </w:t>
      </w:r>
      <w:r w:rsidR="006D53B1">
        <w:t>1</w:t>
      </w:r>
      <w:r w:rsidR="002E065F">
        <w:t>7-18</w:t>
      </w:r>
      <w:r w:rsidR="00CF52E2">
        <w:t xml:space="preserve"> GEF spreadsheet:</w:t>
      </w:r>
    </w:p>
    <w:p w14:paraId="68616DA1" w14:textId="77777777" w:rsidR="00C06143" w:rsidRDefault="00CF52E2" w:rsidP="00CF52E2">
      <w:pPr>
        <w:pStyle w:val="ListParagraph"/>
        <w:numPr>
          <w:ilvl w:val="1"/>
          <w:numId w:val="8"/>
        </w:numPr>
      </w:pPr>
      <w:r>
        <w:t>A</w:t>
      </w:r>
      <w:r w:rsidR="00C06143">
        <w:t>dd columns 10 + 16 and multiply by 60%</w:t>
      </w:r>
    </w:p>
    <w:p w14:paraId="7CB7A2FC" w14:textId="77777777" w:rsidR="00C06143" w:rsidRDefault="00C06143" w:rsidP="00CF52E2">
      <w:pPr>
        <w:pStyle w:val="ListParagraph"/>
        <w:numPr>
          <w:ilvl w:val="1"/>
          <w:numId w:val="8"/>
        </w:numPr>
      </w:pPr>
      <w:r>
        <w:t xml:space="preserve">E.g. </w:t>
      </w:r>
      <w:r w:rsidR="002E065F">
        <w:t>German</w:t>
      </w:r>
      <w:r>
        <w:t xml:space="preserve">’s </w:t>
      </w:r>
      <w:r w:rsidR="006D53B1">
        <w:t>201</w:t>
      </w:r>
      <w:r w:rsidR="002E065F">
        <w:t>8-19</w:t>
      </w:r>
      <w:r w:rsidR="00883356">
        <w:t xml:space="preserve"> </w:t>
      </w:r>
      <w:r w:rsidR="006D53B1">
        <w:t>round 1 allocation will be $</w:t>
      </w:r>
      <w:r w:rsidR="002E065F">
        <w:t>24,0</w:t>
      </w:r>
      <w:r>
        <w:t xml:space="preserve">00 </w:t>
      </w:r>
      <w:r w:rsidR="00883356">
        <w:t>=</w:t>
      </w:r>
      <w:r w:rsidR="002E065F">
        <w:t xml:space="preserve"> ($35,000 + 5</w:t>
      </w:r>
      <w:r>
        <w:t>,000) * 60%</w:t>
      </w:r>
    </w:p>
    <w:p w14:paraId="2BF49429" w14:textId="77777777" w:rsidR="00C06143" w:rsidRDefault="00C06143" w:rsidP="00C06143">
      <w:r>
        <w:t xml:space="preserve">It is important to note that </w:t>
      </w:r>
      <w:r w:rsidR="00883356">
        <w:t>domestic student</w:t>
      </w:r>
      <w:r w:rsidR="00CF52E2">
        <w:t xml:space="preserve"> (FTEs) in the funded cohort with external s</w:t>
      </w:r>
      <w:r w:rsidR="00CF52E2" w:rsidRPr="00CF52E2">
        <w:t>cholarships</w:t>
      </w:r>
      <w:r w:rsidR="00CF52E2">
        <w:t xml:space="preserve"> are </w:t>
      </w:r>
      <w:r w:rsidR="00CF52E2" w:rsidRPr="00CF52E2">
        <w:rPr>
          <w:i/>
        </w:rPr>
        <w:t>not</w:t>
      </w:r>
      <w:r w:rsidR="00CF52E2">
        <w:t xml:space="preserve"> included in the round 1 allocation.</w:t>
      </w:r>
    </w:p>
    <w:p w14:paraId="60E4B10C" w14:textId="77777777" w:rsidR="00CF52E2" w:rsidRDefault="00CF52E2" w:rsidP="00C06143">
      <w:r w:rsidRPr="00C537DB">
        <w:rPr>
          <w:rStyle w:val="Emphasis"/>
          <w:b/>
        </w:rPr>
        <w:t>Round 2</w:t>
      </w:r>
      <w:r>
        <w:t xml:space="preserve"> is the overall funding allocation</w:t>
      </w:r>
      <w:r w:rsidR="00883356">
        <w:t xml:space="preserve"> for the year</w:t>
      </w:r>
      <w:r>
        <w:t xml:space="preserve"> less any funding provided in round 1.</w:t>
      </w:r>
    </w:p>
    <w:p w14:paraId="4069167D" w14:textId="77777777" w:rsidR="00C537DB" w:rsidRDefault="00C537DB" w:rsidP="00C06143"/>
    <w:p w14:paraId="1A90A04A" w14:textId="77777777" w:rsidR="00CF52E2" w:rsidRPr="00CF52E2" w:rsidRDefault="00C537DB" w:rsidP="00C537DB">
      <w:pPr>
        <w:pStyle w:val="Heading2"/>
      </w:pPr>
      <w:r>
        <w:t xml:space="preserve">SEction 3: </w:t>
      </w:r>
      <w:r w:rsidR="00CF52E2" w:rsidRPr="00CF52E2">
        <w:t>GEF</w:t>
      </w:r>
      <w:r>
        <w:t xml:space="preserve"> Accounts Structure</w:t>
      </w:r>
    </w:p>
    <w:p w14:paraId="3961F96B" w14:textId="77777777" w:rsidR="00CF52E2" w:rsidRDefault="00CF52E2" w:rsidP="00CF52E2">
      <w:r>
        <w:t xml:space="preserve">Units have full fungibility over their GEF round 1 and round 2 allocations across two designated </w:t>
      </w:r>
      <w:r w:rsidR="00C537DB">
        <w:t xml:space="preserve">operating </w:t>
      </w:r>
      <w:r>
        <w:t>accounts:</w:t>
      </w:r>
    </w:p>
    <w:p w14:paraId="7EAA6319" w14:textId="77777777" w:rsidR="00CF52E2" w:rsidRDefault="00CF52E2" w:rsidP="00C537DB">
      <w:pPr>
        <w:pStyle w:val="ListParagraph"/>
        <w:numPr>
          <w:ilvl w:val="0"/>
          <w:numId w:val="17"/>
        </w:numPr>
      </w:pPr>
      <w:r>
        <w:t>Teaching Funds</w:t>
      </w:r>
    </w:p>
    <w:p w14:paraId="69A89F21" w14:textId="77777777" w:rsidR="00CF52E2" w:rsidRDefault="00CF52E2" w:rsidP="00C537DB">
      <w:pPr>
        <w:pStyle w:val="ListParagraph"/>
        <w:numPr>
          <w:ilvl w:val="0"/>
          <w:numId w:val="17"/>
        </w:numPr>
      </w:pPr>
      <w:r>
        <w:t>Grad</w:t>
      </w:r>
      <w:r w:rsidR="00C537DB">
        <w:t>uate</w:t>
      </w:r>
      <w:r>
        <w:t xml:space="preserve"> Programs</w:t>
      </w:r>
    </w:p>
    <w:p w14:paraId="04EDA84F" w14:textId="77777777" w:rsidR="00CF52E2" w:rsidRDefault="00C537DB" w:rsidP="00CF52E2">
      <w:r>
        <w:t>T</w:t>
      </w:r>
      <w:r w:rsidR="00CF52E2">
        <w:t>he teaching funds account is to be used for TA allocations to graduate students.</w:t>
      </w:r>
    </w:p>
    <w:p w14:paraId="2C5E80B8" w14:textId="77777777" w:rsidR="00CF52E2" w:rsidRDefault="00C537DB" w:rsidP="00CF52E2">
      <w:r>
        <w:t>T</w:t>
      </w:r>
      <w:r w:rsidR="00CF52E2">
        <w:t>he</w:t>
      </w:r>
      <w:r w:rsidR="00A60BE9">
        <w:t xml:space="preserve"> grad</w:t>
      </w:r>
      <w:r>
        <w:t>uate</w:t>
      </w:r>
      <w:r w:rsidR="00A60BE9">
        <w:t xml:space="preserve"> programs account is for all</w:t>
      </w:r>
      <w:r w:rsidR="00CF52E2">
        <w:t xml:space="preserve"> other allocations that are in support of the unit’s graduate program.</w:t>
      </w:r>
    </w:p>
    <w:p w14:paraId="407CD827" w14:textId="77777777" w:rsidR="00883356" w:rsidRDefault="00A60BE9" w:rsidP="00CF52E2">
      <w:r>
        <w:t xml:space="preserve">Allocations in each round are initially split 7/9ths to the unit’s teaching funds account and 2/9ths to the grad programs account.  </w:t>
      </w:r>
    </w:p>
    <w:p w14:paraId="107D2AAF" w14:textId="77777777" w:rsidR="00CF52E2" w:rsidRPr="00CF52E2" w:rsidRDefault="00C537DB" w:rsidP="00CF52E2">
      <w:r>
        <w:t>T</w:t>
      </w:r>
      <w:r w:rsidR="00A60BE9">
        <w:t>he graduate unit</w:t>
      </w:r>
      <w:r w:rsidR="00883356">
        <w:t xml:space="preserve"> </w:t>
      </w:r>
      <w:r>
        <w:t>may</w:t>
      </w:r>
      <w:r w:rsidR="00883356">
        <w:t xml:space="preserve"> change </w:t>
      </w:r>
      <w:r>
        <w:t xml:space="preserve">the default allocation distribution by </w:t>
      </w:r>
      <w:r w:rsidR="00A60BE9">
        <w:t>noti</w:t>
      </w:r>
      <w:r w:rsidR="00883356">
        <w:t>fy</w:t>
      </w:r>
      <w:r>
        <w:t>ing</w:t>
      </w:r>
      <w:r w:rsidR="00883356">
        <w:t xml:space="preserve"> the Finance Office prior to </w:t>
      </w:r>
      <w:r>
        <w:t>the</w:t>
      </w:r>
      <w:r w:rsidR="00883356">
        <w:t xml:space="preserve"> distribution timeline</w:t>
      </w:r>
      <w:r w:rsidR="00A60BE9">
        <w:t>.</w:t>
      </w:r>
    </w:p>
    <w:p w14:paraId="2CDB3F3C" w14:textId="77777777" w:rsidR="001820BF" w:rsidRDefault="00A60BE9" w:rsidP="00AA71DB">
      <w:r>
        <w:t xml:space="preserve">Funding to UTM and UTSC is not monitored and is provided in </w:t>
      </w:r>
      <w:r w:rsidR="00883356">
        <w:t>full</w:t>
      </w:r>
      <w:r>
        <w:t xml:space="preserve"> in </w:t>
      </w:r>
      <w:r w:rsidR="001820BF">
        <w:t>R</w:t>
      </w:r>
      <w:r>
        <w:t>ound 2</w:t>
      </w:r>
      <w:r w:rsidR="001820BF">
        <w:t>, without a Round 1 distribution.</w:t>
      </w:r>
    </w:p>
    <w:p w14:paraId="7215BB75" w14:textId="77777777" w:rsidR="008E3901" w:rsidRDefault="008E3901" w:rsidP="00AA71DB"/>
    <w:p w14:paraId="46C56F77" w14:textId="77777777" w:rsidR="008E3901" w:rsidRDefault="008E3901" w:rsidP="00AA71DB"/>
    <w:p w14:paraId="1F51FABB" w14:textId="77777777" w:rsidR="008E3901" w:rsidRPr="00D60648" w:rsidRDefault="008E3901" w:rsidP="00AA71DB"/>
    <w:sectPr w:rsidR="008E3901" w:rsidRPr="00D60648" w:rsidSect="00C06143">
      <w:pgSz w:w="12240" w:h="15840"/>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EE0"/>
    <w:multiLevelType w:val="hybridMultilevel"/>
    <w:tmpl w:val="598A8652"/>
    <w:lvl w:ilvl="0" w:tplc="395E4D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4B593D"/>
    <w:multiLevelType w:val="hybridMultilevel"/>
    <w:tmpl w:val="E4CABAD8"/>
    <w:lvl w:ilvl="0" w:tplc="2AF434F4">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2" w15:restartNumberingAfterBreak="0">
    <w:nsid w:val="1BD55DD8"/>
    <w:multiLevelType w:val="hybridMultilevel"/>
    <w:tmpl w:val="BFAEE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9918AD"/>
    <w:multiLevelType w:val="hybridMultilevel"/>
    <w:tmpl w:val="DDB04E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FE4DDF"/>
    <w:multiLevelType w:val="hybridMultilevel"/>
    <w:tmpl w:val="33C207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D854C4"/>
    <w:multiLevelType w:val="hybridMultilevel"/>
    <w:tmpl w:val="273819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5F5901"/>
    <w:multiLevelType w:val="hybridMultilevel"/>
    <w:tmpl w:val="7AC6751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0A66AF3"/>
    <w:multiLevelType w:val="hybridMultilevel"/>
    <w:tmpl w:val="64300B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3A297B"/>
    <w:multiLevelType w:val="hybridMultilevel"/>
    <w:tmpl w:val="EFE82636"/>
    <w:lvl w:ilvl="0" w:tplc="F5C29976">
      <w:start w:val="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937A77"/>
    <w:multiLevelType w:val="hybridMultilevel"/>
    <w:tmpl w:val="DDB04E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443DAE"/>
    <w:multiLevelType w:val="hybridMultilevel"/>
    <w:tmpl w:val="1CAA14F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28970A1"/>
    <w:multiLevelType w:val="hybridMultilevel"/>
    <w:tmpl w:val="582E6F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4A0232B"/>
    <w:multiLevelType w:val="hybridMultilevel"/>
    <w:tmpl w:val="A9A0E8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FD74CD3"/>
    <w:multiLevelType w:val="hybridMultilevel"/>
    <w:tmpl w:val="05D04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966EBF"/>
    <w:multiLevelType w:val="hybridMultilevel"/>
    <w:tmpl w:val="D498417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25F667E"/>
    <w:multiLevelType w:val="hybridMultilevel"/>
    <w:tmpl w:val="8840797A"/>
    <w:lvl w:ilvl="0" w:tplc="059810B0">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355607"/>
    <w:multiLevelType w:val="hybridMultilevel"/>
    <w:tmpl w:val="2892DD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1"/>
  </w:num>
  <w:num w:numId="4">
    <w:abstractNumId w:val="12"/>
  </w:num>
  <w:num w:numId="5">
    <w:abstractNumId w:val="15"/>
  </w:num>
  <w:num w:numId="6">
    <w:abstractNumId w:val="9"/>
  </w:num>
  <w:num w:numId="7">
    <w:abstractNumId w:val="3"/>
  </w:num>
  <w:num w:numId="8">
    <w:abstractNumId w:val="8"/>
  </w:num>
  <w:num w:numId="9">
    <w:abstractNumId w:val="5"/>
  </w:num>
  <w:num w:numId="10">
    <w:abstractNumId w:val="13"/>
  </w:num>
  <w:num w:numId="11">
    <w:abstractNumId w:val="2"/>
  </w:num>
  <w:num w:numId="12">
    <w:abstractNumId w:val="14"/>
  </w:num>
  <w:num w:numId="13">
    <w:abstractNumId w:val="0"/>
  </w:num>
  <w:num w:numId="14">
    <w:abstractNumId w:val="10"/>
  </w:num>
  <w:num w:numId="15">
    <w:abstractNumId w:val="6"/>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1C"/>
    <w:rsid w:val="00050F5C"/>
    <w:rsid w:val="000C3A08"/>
    <w:rsid w:val="000C5C98"/>
    <w:rsid w:val="001820BF"/>
    <w:rsid w:val="002E065F"/>
    <w:rsid w:val="002F4548"/>
    <w:rsid w:val="00312A72"/>
    <w:rsid w:val="00395468"/>
    <w:rsid w:val="00486E36"/>
    <w:rsid w:val="004A78BB"/>
    <w:rsid w:val="00596763"/>
    <w:rsid w:val="00615F3A"/>
    <w:rsid w:val="006D53B1"/>
    <w:rsid w:val="00727DFB"/>
    <w:rsid w:val="00776C01"/>
    <w:rsid w:val="007A454C"/>
    <w:rsid w:val="007F3AF7"/>
    <w:rsid w:val="0080100F"/>
    <w:rsid w:val="00816472"/>
    <w:rsid w:val="00883356"/>
    <w:rsid w:val="0088765D"/>
    <w:rsid w:val="008B0698"/>
    <w:rsid w:val="008E3901"/>
    <w:rsid w:val="00917732"/>
    <w:rsid w:val="00940455"/>
    <w:rsid w:val="009C52E1"/>
    <w:rsid w:val="00A46680"/>
    <w:rsid w:val="00A60BE9"/>
    <w:rsid w:val="00A91B63"/>
    <w:rsid w:val="00AA71DB"/>
    <w:rsid w:val="00B002F1"/>
    <w:rsid w:val="00BC7CB3"/>
    <w:rsid w:val="00C06143"/>
    <w:rsid w:val="00C52A1C"/>
    <w:rsid w:val="00C537DB"/>
    <w:rsid w:val="00CD0A57"/>
    <w:rsid w:val="00CF52E2"/>
    <w:rsid w:val="00D60648"/>
    <w:rsid w:val="00D664A0"/>
    <w:rsid w:val="00D72EA0"/>
    <w:rsid w:val="00DE7908"/>
    <w:rsid w:val="00E94E0A"/>
    <w:rsid w:val="00ED3210"/>
    <w:rsid w:val="00EE432D"/>
    <w:rsid w:val="00F57CD3"/>
    <w:rsid w:val="00FE4DD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EDB9"/>
  <w15:docId w15:val="{8FC87AD5-5A59-400F-9A73-C4557BAE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5D"/>
    <w:rPr>
      <w:sz w:val="20"/>
      <w:szCs w:val="20"/>
    </w:rPr>
  </w:style>
  <w:style w:type="paragraph" w:styleId="Heading1">
    <w:name w:val="heading 1"/>
    <w:basedOn w:val="Normal"/>
    <w:next w:val="Normal"/>
    <w:link w:val="Heading1Char"/>
    <w:uiPriority w:val="9"/>
    <w:qFormat/>
    <w:rsid w:val="0088765D"/>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8765D"/>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8765D"/>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unhideWhenUsed/>
    <w:qFormat/>
    <w:rsid w:val="0088765D"/>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unhideWhenUsed/>
    <w:qFormat/>
    <w:rsid w:val="0088765D"/>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88765D"/>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88765D"/>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8876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76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5D"/>
    <w:pPr>
      <w:ind w:left="720"/>
      <w:contextualSpacing/>
    </w:pPr>
  </w:style>
  <w:style w:type="paragraph" w:styleId="BalloonText">
    <w:name w:val="Balloon Text"/>
    <w:basedOn w:val="Normal"/>
    <w:link w:val="BalloonTextChar"/>
    <w:uiPriority w:val="99"/>
    <w:semiHidden/>
    <w:unhideWhenUsed/>
    <w:rsid w:val="007A4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4C"/>
    <w:rPr>
      <w:rFonts w:ascii="Tahoma" w:hAnsi="Tahoma" w:cs="Tahoma"/>
      <w:sz w:val="16"/>
      <w:szCs w:val="16"/>
    </w:rPr>
  </w:style>
  <w:style w:type="character" w:customStyle="1" w:styleId="Heading1Char">
    <w:name w:val="Heading 1 Char"/>
    <w:basedOn w:val="DefaultParagraphFont"/>
    <w:link w:val="Heading1"/>
    <w:uiPriority w:val="9"/>
    <w:rsid w:val="0088765D"/>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88765D"/>
    <w:rPr>
      <w:caps/>
      <w:spacing w:val="15"/>
      <w:shd w:val="clear" w:color="auto" w:fill="DFE3F0" w:themeFill="accent1" w:themeFillTint="33"/>
    </w:rPr>
  </w:style>
  <w:style w:type="character" w:customStyle="1" w:styleId="Heading3Char">
    <w:name w:val="Heading 3 Char"/>
    <w:basedOn w:val="DefaultParagraphFont"/>
    <w:link w:val="Heading3"/>
    <w:uiPriority w:val="9"/>
    <w:rsid w:val="0088765D"/>
    <w:rPr>
      <w:caps/>
      <w:color w:val="2C385D" w:themeColor="accent1" w:themeShade="7F"/>
      <w:spacing w:val="15"/>
    </w:rPr>
  </w:style>
  <w:style w:type="character" w:customStyle="1" w:styleId="Heading4Char">
    <w:name w:val="Heading 4 Char"/>
    <w:basedOn w:val="DefaultParagraphFont"/>
    <w:link w:val="Heading4"/>
    <w:uiPriority w:val="9"/>
    <w:rsid w:val="0088765D"/>
    <w:rPr>
      <w:caps/>
      <w:color w:val="42558C" w:themeColor="accent1" w:themeShade="BF"/>
      <w:spacing w:val="10"/>
    </w:rPr>
  </w:style>
  <w:style w:type="character" w:customStyle="1" w:styleId="Heading5Char">
    <w:name w:val="Heading 5 Char"/>
    <w:basedOn w:val="DefaultParagraphFont"/>
    <w:link w:val="Heading5"/>
    <w:uiPriority w:val="9"/>
    <w:rsid w:val="0088765D"/>
    <w:rPr>
      <w:caps/>
      <w:color w:val="42558C" w:themeColor="accent1" w:themeShade="BF"/>
      <w:spacing w:val="10"/>
    </w:rPr>
  </w:style>
  <w:style w:type="character" w:customStyle="1" w:styleId="Heading6Char">
    <w:name w:val="Heading 6 Char"/>
    <w:basedOn w:val="DefaultParagraphFont"/>
    <w:link w:val="Heading6"/>
    <w:uiPriority w:val="9"/>
    <w:semiHidden/>
    <w:rsid w:val="0088765D"/>
    <w:rPr>
      <w:caps/>
      <w:color w:val="42558C" w:themeColor="accent1" w:themeShade="BF"/>
      <w:spacing w:val="10"/>
    </w:rPr>
  </w:style>
  <w:style w:type="character" w:customStyle="1" w:styleId="Heading7Char">
    <w:name w:val="Heading 7 Char"/>
    <w:basedOn w:val="DefaultParagraphFont"/>
    <w:link w:val="Heading7"/>
    <w:uiPriority w:val="9"/>
    <w:semiHidden/>
    <w:rsid w:val="0088765D"/>
    <w:rPr>
      <w:caps/>
      <w:color w:val="42558C" w:themeColor="accent1" w:themeShade="BF"/>
      <w:spacing w:val="10"/>
    </w:rPr>
  </w:style>
  <w:style w:type="character" w:customStyle="1" w:styleId="Heading8Char">
    <w:name w:val="Heading 8 Char"/>
    <w:basedOn w:val="DefaultParagraphFont"/>
    <w:link w:val="Heading8"/>
    <w:uiPriority w:val="9"/>
    <w:semiHidden/>
    <w:rsid w:val="0088765D"/>
    <w:rPr>
      <w:caps/>
      <w:spacing w:val="10"/>
      <w:sz w:val="18"/>
      <w:szCs w:val="18"/>
    </w:rPr>
  </w:style>
  <w:style w:type="character" w:customStyle="1" w:styleId="Heading9Char">
    <w:name w:val="Heading 9 Char"/>
    <w:basedOn w:val="DefaultParagraphFont"/>
    <w:link w:val="Heading9"/>
    <w:uiPriority w:val="9"/>
    <w:semiHidden/>
    <w:rsid w:val="0088765D"/>
    <w:rPr>
      <w:i/>
      <w:caps/>
      <w:spacing w:val="10"/>
      <w:sz w:val="18"/>
      <w:szCs w:val="18"/>
    </w:rPr>
  </w:style>
  <w:style w:type="paragraph" w:styleId="Caption">
    <w:name w:val="caption"/>
    <w:basedOn w:val="Normal"/>
    <w:next w:val="Normal"/>
    <w:uiPriority w:val="35"/>
    <w:semiHidden/>
    <w:unhideWhenUsed/>
    <w:qFormat/>
    <w:rsid w:val="0088765D"/>
    <w:rPr>
      <w:b/>
      <w:bCs/>
      <w:color w:val="42558C" w:themeColor="accent1" w:themeShade="BF"/>
      <w:sz w:val="16"/>
      <w:szCs w:val="16"/>
    </w:rPr>
  </w:style>
  <w:style w:type="paragraph" w:styleId="Title">
    <w:name w:val="Title"/>
    <w:basedOn w:val="Normal"/>
    <w:next w:val="Normal"/>
    <w:link w:val="TitleChar"/>
    <w:uiPriority w:val="10"/>
    <w:qFormat/>
    <w:rsid w:val="0088765D"/>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88765D"/>
    <w:rPr>
      <w:caps/>
      <w:color w:val="6076B4" w:themeColor="accent1"/>
      <w:spacing w:val="10"/>
      <w:kern w:val="28"/>
      <w:sz w:val="52"/>
      <w:szCs w:val="52"/>
    </w:rPr>
  </w:style>
  <w:style w:type="paragraph" w:styleId="Subtitle">
    <w:name w:val="Subtitle"/>
    <w:basedOn w:val="Normal"/>
    <w:next w:val="Normal"/>
    <w:link w:val="SubtitleChar"/>
    <w:uiPriority w:val="11"/>
    <w:qFormat/>
    <w:rsid w:val="008876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8765D"/>
    <w:rPr>
      <w:caps/>
      <w:color w:val="595959" w:themeColor="text1" w:themeTint="A6"/>
      <w:spacing w:val="10"/>
      <w:sz w:val="24"/>
      <w:szCs w:val="24"/>
    </w:rPr>
  </w:style>
  <w:style w:type="character" w:styleId="Strong">
    <w:name w:val="Strong"/>
    <w:uiPriority w:val="22"/>
    <w:qFormat/>
    <w:rsid w:val="0088765D"/>
    <w:rPr>
      <w:b/>
      <w:bCs/>
    </w:rPr>
  </w:style>
  <w:style w:type="character" w:styleId="Emphasis">
    <w:name w:val="Emphasis"/>
    <w:uiPriority w:val="20"/>
    <w:qFormat/>
    <w:rsid w:val="0088765D"/>
    <w:rPr>
      <w:caps/>
      <w:color w:val="2C385D" w:themeColor="accent1" w:themeShade="7F"/>
      <w:spacing w:val="5"/>
    </w:rPr>
  </w:style>
  <w:style w:type="paragraph" w:styleId="NoSpacing">
    <w:name w:val="No Spacing"/>
    <w:basedOn w:val="Normal"/>
    <w:link w:val="NoSpacingChar"/>
    <w:uiPriority w:val="1"/>
    <w:qFormat/>
    <w:rsid w:val="0088765D"/>
    <w:pPr>
      <w:spacing w:before="0" w:after="0" w:line="240" w:lineRule="auto"/>
    </w:pPr>
  </w:style>
  <w:style w:type="character" w:customStyle="1" w:styleId="NoSpacingChar">
    <w:name w:val="No Spacing Char"/>
    <w:basedOn w:val="DefaultParagraphFont"/>
    <w:link w:val="NoSpacing"/>
    <w:uiPriority w:val="1"/>
    <w:rsid w:val="0088765D"/>
    <w:rPr>
      <w:sz w:val="20"/>
      <w:szCs w:val="20"/>
    </w:rPr>
  </w:style>
  <w:style w:type="paragraph" w:styleId="Quote">
    <w:name w:val="Quote"/>
    <w:basedOn w:val="Normal"/>
    <w:next w:val="Normal"/>
    <w:link w:val="QuoteChar"/>
    <w:uiPriority w:val="29"/>
    <w:qFormat/>
    <w:rsid w:val="0088765D"/>
    <w:rPr>
      <w:i/>
      <w:iCs/>
    </w:rPr>
  </w:style>
  <w:style w:type="character" w:customStyle="1" w:styleId="QuoteChar">
    <w:name w:val="Quote Char"/>
    <w:basedOn w:val="DefaultParagraphFont"/>
    <w:link w:val="Quote"/>
    <w:uiPriority w:val="29"/>
    <w:rsid w:val="0088765D"/>
    <w:rPr>
      <w:i/>
      <w:iCs/>
      <w:sz w:val="20"/>
      <w:szCs w:val="20"/>
    </w:rPr>
  </w:style>
  <w:style w:type="paragraph" w:styleId="IntenseQuote">
    <w:name w:val="Intense Quote"/>
    <w:basedOn w:val="Normal"/>
    <w:next w:val="Normal"/>
    <w:link w:val="IntenseQuoteChar"/>
    <w:uiPriority w:val="30"/>
    <w:qFormat/>
    <w:rsid w:val="0088765D"/>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88765D"/>
    <w:rPr>
      <w:i/>
      <w:iCs/>
      <w:color w:val="6076B4" w:themeColor="accent1"/>
      <w:sz w:val="20"/>
      <w:szCs w:val="20"/>
    </w:rPr>
  </w:style>
  <w:style w:type="character" w:styleId="SubtleEmphasis">
    <w:name w:val="Subtle Emphasis"/>
    <w:uiPriority w:val="19"/>
    <w:qFormat/>
    <w:rsid w:val="0088765D"/>
    <w:rPr>
      <w:i/>
      <w:iCs/>
      <w:color w:val="2C385D" w:themeColor="accent1" w:themeShade="7F"/>
    </w:rPr>
  </w:style>
  <w:style w:type="character" w:styleId="IntenseEmphasis">
    <w:name w:val="Intense Emphasis"/>
    <w:uiPriority w:val="21"/>
    <w:qFormat/>
    <w:rsid w:val="0088765D"/>
    <w:rPr>
      <w:b/>
      <w:bCs/>
      <w:caps/>
      <w:color w:val="2C385D" w:themeColor="accent1" w:themeShade="7F"/>
      <w:spacing w:val="10"/>
    </w:rPr>
  </w:style>
  <w:style w:type="character" w:styleId="SubtleReference">
    <w:name w:val="Subtle Reference"/>
    <w:uiPriority w:val="31"/>
    <w:qFormat/>
    <w:rsid w:val="0088765D"/>
    <w:rPr>
      <w:b/>
      <w:bCs/>
      <w:color w:val="6076B4" w:themeColor="accent1"/>
    </w:rPr>
  </w:style>
  <w:style w:type="character" w:styleId="IntenseReference">
    <w:name w:val="Intense Reference"/>
    <w:uiPriority w:val="32"/>
    <w:qFormat/>
    <w:rsid w:val="0088765D"/>
    <w:rPr>
      <w:b/>
      <w:bCs/>
      <w:i/>
      <w:iCs/>
      <w:caps/>
      <w:color w:val="6076B4" w:themeColor="accent1"/>
    </w:rPr>
  </w:style>
  <w:style w:type="character" w:styleId="BookTitle">
    <w:name w:val="Book Title"/>
    <w:uiPriority w:val="33"/>
    <w:qFormat/>
    <w:rsid w:val="0088765D"/>
    <w:rPr>
      <w:b/>
      <w:bCs/>
      <w:i/>
      <w:iCs/>
      <w:spacing w:val="9"/>
    </w:rPr>
  </w:style>
  <w:style w:type="paragraph" w:styleId="TOCHeading">
    <w:name w:val="TOC Heading"/>
    <w:basedOn w:val="Heading1"/>
    <w:next w:val="Normal"/>
    <w:uiPriority w:val="39"/>
    <w:semiHidden/>
    <w:unhideWhenUsed/>
    <w:qFormat/>
    <w:rsid w:val="0088765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7D0E-037B-45DF-8DBB-BEDE2532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Taylor</dc:creator>
  <cp:lastModifiedBy>George Taylor</cp:lastModifiedBy>
  <cp:revision>3</cp:revision>
  <cp:lastPrinted>2015-12-17T22:25:00Z</cp:lastPrinted>
  <dcterms:created xsi:type="dcterms:W3CDTF">2018-12-05T18:27:00Z</dcterms:created>
  <dcterms:modified xsi:type="dcterms:W3CDTF">2018-12-06T11:12:00Z</dcterms:modified>
</cp:coreProperties>
</file>